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21.png" ContentType="image/png"/>
  <Override PartName="/word/media/rId25.png" ContentType="image/png"/>
  <Override PartName="/word/media/rId33.png" ContentType="image/png"/>
  <Override PartName="/word/media/rId37.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41" w:name="supplementary-material"/>
    <w:p>
      <w:pPr>
        <w:pStyle w:val="Heading1"/>
      </w:pPr>
      <w:r>
        <w:t xml:space="preserve">Supplementary material</w:t>
      </w:r>
    </w:p>
    <w:p>
      <w:pPr>
        <w:pStyle w:val="CaptionedFigure"/>
      </w:pPr>
      <w:r>
        <w:drawing>
          <wp:inline>
            <wp:extent cx="5943600" cy="7429499"/>
            <wp:effectExtent b="0" l="0" r="0" t="0"/>
            <wp:docPr descr="Figure 1: Example of representative growth curves (tracked as OD680) of two PhycoCyanin(PC)-rich cultures (light green line; 056, dark green line; 077) and two PhycoErythrin(PE)-rich cultures (light red line; 048, dark red line; 127) (Culture Collection of Baltic Algae) of Synechococcus sp. grown at 30, 90, 180, 300, or 900 peak diel PAR µmol photons m−2s−1;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22" name="Picture"/>
            <a:graphic>
              <a:graphicData uri="http://schemas.openxmlformats.org/drawingml/2006/picture">
                <pic:pic>
                  <pic:nvPicPr>
                    <pic:cNvPr descr="../Output/Figures/SFig_GrowthCurve.png" id="23" name="Picture"/>
                    <pic:cNvPicPr>
                      <a:picLocks noChangeArrowheads="1" noChangeAspect="1"/>
                    </pic:cNvPicPr>
                  </pic:nvPicPr>
                  <pic:blipFill>
                    <a:blip r:embed="rId2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4" w:name="fig:GrowthCurve"/>
      <w:bookmarkEnd w:id="24"/>
      <w:r>
        <w:t xml:space="preserve">Figure 1: Example of representative growth curves (tracked as OD</w:t>
      </w:r>
      <w:r>
        <w:rPr>
          <w:vertAlign w:val="subscript"/>
        </w:rPr>
        <w:t xml:space="preserve">680</w:t>
      </w:r>
      <w:r>
        <w:t xml:space="preserve">) of two PhycoCyanin(PC)-rich cultures (light green line; 056, dark green line; 077) and two PhycoErythrin(PE)-rich cultures (light red line; 048, dark red line; 127) (Culture Collection of Baltic Algae) of</w:t>
      </w:r>
      <w:r>
        <w:t xml:space="preserve"> </w:t>
      </w:r>
      <w:r>
        <w:rPr>
          <w:iCs/>
          <w:i/>
        </w:rPr>
        <w:t xml:space="preserve">Synechococcus</w:t>
      </w:r>
      <w:r>
        <w:t xml:space="preserve"> </w:t>
      </w:r>
      <w:r>
        <w:t xml:space="preserve">sp. grown at 30, 90, 180, 300, or 900 peak diel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429499"/>
            <wp:effectExtent b="0" l="0" r="0" t="0"/>
            <wp:docPr descr="Figure 2: Chlorophyll specific exponential growth rates, estimated from logistic fits of chlorophyll proxy OD680-OD720 vs. elapsed time, for two PhycoCyanin(PC)-rich cultures (056, 077) and two PhycoErythrin(PE)-rich cultures (048, 127) (Culture Collection of Baltic Algae) of Synechococcus sp. grown at 30, 90, 180, 300, 600, or 900 peak diel PAR µmol photons m−2s−1; and photoperiods of 8, 12, 16, or 24 h. Growth rates (+/- SE from logistic model; SE falls within symbol sizes) are plotted vs. cumulative diel µmol photons m−2d−1, and pool fit with curve (Harrison and Platt, 1986) was shown as solid blue line. Separate lines (dashed) fit for growth under 30 (dark gray), 90 (light gray), 180 (purple), 300 (red), 600 together with 900 (orange) peak diel PAR µmol photons m−2s−1 when they were significantly different (ANOVA, p &lt; 0.05) from the pool fit." title="" id="26" name="Picture"/>
            <a:graphic>
              <a:graphicData uri="http://schemas.openxmlformats.org/drawingml/2006/picture">
                <pic:pic>
                  <pic:nvPicPr>
                    <pic:cNvPr descr="../Output/Figures/SFig_GrowthRate.png" id="27" name="Picture"/>
                    <pic:cNvPicPr>
                      <a:picLocks noChangeArrowheads="1" noChangeAspect="1"/>
                    </pic:cNvPicPr>
                  </pic:nvPicPr>
                  <pic:blipFill>
                    <a:blip r:embed="rId2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8" w:name="fig:GrowthRate"/>
      <w:bookmarkEnd w:id="28"/>
      <w:r>
        <w:t xml:space="preserve">Figure 2: Chlorophyll specific exponential growth rates,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diel PAR µmol photons m</w:t>
      </w:r>
      <w:r>
        <w:rPr>
          <w:vertAlign w:val="superscript"/>
        </w:rPr>
        <w:t xml:space="preserve">−2</w:t>
      </w:r>
      <w:r>
        <w:t xml:space="preserve">s</w:t>
      </w:r>
      <w:r>
        <w:rPr>
          <w:vertAlign w:val="superscript"/>
        </w:rPr>
        <w:t xml:space="preserve">−1</w:t>
      </w:r>
      <w:r>
        <w:t xml:space="preserve">; and photoperiods of 8, 12, 16, or 24 h. Growth rates (+/- SE from logistic model; SE falls within symbol sizes) are plotted vs. cumulative diel µmol photons m</w:t>
      </w:r>
      <w:r>
        <w:rPr>
          <w:vertAlign w:val="superscript"/>
        </w:rPr>
        <w:t xml:space="preserve">−2</w:t>
      </w:r>
      <w:r>
        <w:t xml:space="preserve">d</w:t>
      </w:r>
      <w:r>
        <w:rPr>
          <w:vertAlign w:val="superscript"/>
        </w:rPr>
        <w:t xml:space="preserve">−1</w:t>
      </w:r>
      <w:r>
        <w:t xml:space="preserve">, and pool fit with curve (Harrison and Platt, 1986) was shown as solid blue line. Separate lines (dashed) fit for growth under 30 (dark gray), 90 (light gray), 180 (purple), 300 (red), 600 together with 900 (orange) peak diel PAR µmol photons m</w:t>
      </w:r>
      <w:r>
        <w:rPr>
          <w:vertAlign w:val="superscript"/>
        </w:rPr>
        <w:t xml:space="preserve">−2</w:t>
      </w:r>
      <w:r>
        <w:t xml:space="preserve">s</w:t>
      </w:r>
      <w:r>
        <w:rPr>
          <w:vertAlign w:val="superscript"/>
        </w:rPr>
        <w:t xml:space="preserve">−1</w:t>
      </w:r>
      <w:r>
        <w:t xml:space="preserve"> </w:t>
      </w:r>
      <w:r>
        <w:t xml:space="preserve">when they were significantly different (ANOVA,</w:t>
      </w:r>
      <w:r>
        <w:t xml:space="preserve"> </w:t>
      </w:r>
      <w:r>
        <w:rPr>
          <w:iCs/>
          <w:i/>
        </w:rPr>
        <w:t xml:space="preserve">p</w:t>
      </w:r>
      <w:r>
        <w:t xml:space="preserve"> </w:t>
      </w:r>
      <w:r>
        <w:t xml:space="preserve">&lt; 0.05) from the pool fit.</w:t>
      </w:r>
    </w:p>
    <w:p>
      <w:pPr>
        <w:pStyle w:val="CaptionedFigure"/>
      </w:pPr>
      <w:r>
        <w:drawing>
          <wp:inline>
            <wp:extent cx="5943600" cy="7429499"/>
            <wp:effectExtent b="0" l="0" r="0" t="0"/>
            <wp:docPr descr="Figure 3: Hours of photoperiod to reach maximum hourly growth increment (AccLen), for two PhycoCyanin(PC)-rich cultures (056, 077) and two PhycoErythrin(PE)-rich cultures (048, 127) (Culture Collection of Baltic Algae) of Synechococcus sp. grown at 30, 90, 180, 300, or 900 peak diel PAR µmol photons m−2s−1; and photoperiods of 8, 12, or 16 h. Figure represent all data (small symbols) and means (big symbols) for n = 0-5 days from exponential phase, prior to reaching maximum absolute hourly growth; or from pre-stationary growth phase, after reaching maximum absolute hourly growth. The diagonal dashed lines indicate the time (h) to reach the maximum light during the day." title="" id="30" name="Picture"/>
            <a:graphic>
              <a:graphicData uri="http://schemas.openxmlformats.org/drawingml/2006/picture">
                <pic:pic>
                  <pic:nvPicPr>
                    <pic:cNvPr descr="../Output/Figures/SFig_AccLen.png" id="31" name="Picture"/>
                    <pic:cNvPicPr>
                      <a:picLocks noChangeArrowheads="1" noChangeAspect="1"/>
                    </pic:cNvPicPr>
                  </pic:nvPicPr>
                  <pic:blipFill>
                    <a:blip r:embed="rId2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2" w:name="fig:AccLen"/>
      <w:bookmarkEnd w:id="32"/>
      <w:r>
        <w:t xml:space="preserve">Figure 3: Hours of photoperiod to reach maximum hourly growth increment (AccLen),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diel PAR µmol photons m</w:t>
      </w:r>
      <w:r>
        <w:rPr>
          <w:vertAlign w:val="superscript"/>
        </w:rPr>
        <w:t xml:space="preserve">−2</w:t>
      </w:r>
      <w:r>
        <w:t xml:space="preserve">s</w:t>
      </w:r>
      <w:r>
        <w:rPr>
          <w:vertAlign w:val="superscript"/>
        </w:rPr>
        <w:t xml:space="preserve">−1</w:t>
      </w:r>
      <w:r>
        <w:t xml:space="preserve">; and photoperiods of 8, 12, or 16 h. Figure represent all data (small symbols) and means (big symbols) for n = 0-5 days from exponential phase, prior to reaching maximum absolute hourly growth; or from pre-stationary growth phase, after reaching maximum absolute hourly growth. The diagonal dashed lines indicate the time (h) to reach the maximum light during the day.</w:t>
      </w:r>
    </w:p>
    <w:p>
      <w:pPr>
        <w:pStyle w:val="CaptionedFigure"/>
      </w:pPr>
      <w:r>
        <w:drawing>
          <wp:inline>
            <wp:extent cx="5943600" cy="7429499"/>
            <wp:effectExtent b="0" l="0" r="0" t="0"/>
            <wp:docPr descr="Figure 4: Changes of cell-specific pigment content of two PhycoCyanin(PC)-rich cultures (Culture Collection of Baltic Algae; 056, 077) and two PhycoErythrin(PE)-rich cultures (Culture Collection of Baltic Algae; 048, 127) of Synechococcus sp. at selected cumulative diel µmol photons m−2d−1 over time (h). The vertical lines represent the time when the strains reached their maximum absolute hourly growth (tMaxAG)." title="" id="34" name="Picture"/>
            <a:graphic>
              <a:graphicData uri="http://schemas.openxmlformats.org/drawingml/2006/picture">
                <pic:pic>
                  <pic:nvPicPr>
                    <pic:cNvPr descr="../Output/Figures/SFig_Pigments.png" id="35" name="Picture"/>
                    <pic:cNvPicPr>
                      <a:picLocks noChangeArrowheads="1" noChangeAspect="1"/>
                    </pic:cNvPicPr>
                  </pic:nvPicPr>
                  <pic:blipFill>
                    <a:blip r:embed="rId3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6" w:name="fig:Pigments"/>
      <w:bookmarkEnd w:id="36"/>
      <w:r>
        <w:t xml:space="preserve">Figure 4: Changes of cell-specific pigment content of two PhycoCyanin(PC)-rich cultures (Culture Collection of Baltic Algae; 056, 077) and two PhycoErythrin(PE)-rich cultures (Culture Collection of Baltic Algae; 048, 127) of</w:t>
      </w:r>
      <w:r>
        <w:t xml:space="preserve"> </w:t>
      </w:r>
      <w:r>
        <w:rPr>
          <w:iCs/>
          <w:i/>
        </w:rPr>
        <w:t xml:space="preserve">Synechococcus</w:t>
      </w:r>
      <w:r>
        <w:t xml:space="preserve"> </w:t>
      </w:r>
      <w:r>
        <w:t xml:space="preserve">sp. at selected cumulative diel µmol photons m</w:t>
      </w:r>
      <w:r>
        <w:rPr>
          <w:vertAlign w:val="superscript"/>
        </w:rPr>
        <w:t xml:space="preserve">−2</w:t>
      </w:r>
      <w:r>
        <w:t xml:space="preserve">d</w:t>
      </w:r>
      <w:r>
        <w:rPr>
          <w:vertAlign w:val="superscript"/>
        </w:rPr>
        <w:t xml:space="preserve">−1</w:t>
      </w:r>
      <w:r>
        <w:t xml:space="preserve"> </w:t>
      </w:r>
      <w:r>
        <w:t xml:space="preserve">over time (h). The vertical lines represent the time when the strains reached their maximum absolute hourly growth (tMaxAG).</w:t>
      </w:r>
    </w:p>
    <w:p>
      <w:pPr>
        <w:pStyle w:val="CaptionedFigure"/>
      </w:pPr>
      <w:r>
        <w:drawing>
          <wp:inline>
            <wp:extent cx="5943600" cy="7429499"/>
            <wp:effectExtent b="0" l="0" r="0" t="0"/>
            <wp:docPr descr="Figure 5: Effective absorption cross section of PSII (σPSII’; nm2 quanta-1) measured under diel peak PAR growth light under Ex445 nm (blue) excitation in two PhycoCyanin(PC)-rich cultures (056, 077) and two PhycoErythrin(PE)-rich cultures (048, 127) (Culture Collection of Baltic Algae) of Synechococcus sp. grown at 30, 90, 180, 300, 600, or 900 peak diel PAR µmol photons m−2s−1; and photoperiods of 8, 12, or 16 h. n = 3, +/- SD. Line shows single phase exponential decay fit." title="" id="38" name="Picture"/>
            <a:graphic>
              <a:graphicData uri="http://schemas.openxmlformats.org/drawingml/2006/picture">
                <pic:pic>
                  <pic:nvPicPr>
                    <pic:cNvPr descr="../Output/Figures/SFig_Sigma445.png" id="39"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0" w:name="fig:Sigma445"/>
      <w:bookmarkEnd w:id="40"/>
      <w:r>
        <w:t xml:space="preserve">Figure 5: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in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diel PAR µmol photons m</w:t>
      </w:r>
      <w:r>
        <w:rPr>
          <w:vertAlign w:val="superscript"/>
        </w:rPr>
        <w:t xml:space="preserve">−2</w:t>
      </w:r>
      <w:r>
        <w:t xml:space="preserve">s</w:t>
      </w:r>
      <w:r>
        <w:rPr>
          <w:vertAlign w:val="superscript"/>
        </w:rPr>
        <w:t xml:space="preserve">−1</w:t>
      </w:r>
      <w:r>
        <w:t xml:space="preserve">; and photoperiods of 8, 12, or 16 h. n = 3, +/- SD. Line shows single phase exponential decay fit.</w:t>
      </w:r>
    </w:p>
    <w:bookmarkEnd w:id="41"/>
    <w:sectPr w:rsidR="00F71E91">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8B5961"/>
    <w:pPr>
      <w:spacing w:after="180" w:before="180" w:line="360" w:lineRule="auto"/>
      <w:jc w:val="both"/>
    </w:pPr>
    <w:rPr>
      <w:rFonts w:ascii="Times New Roman" w:hAnsi="Times New Roman"/>
    </w:rPr>
  </w:style>
  <w:style w:customStyle="1" w:styleId="FirstParagraph" w:type="paragraph">
    <w:name w:val="First Paragraph"/>
    <w:basedOn w:val="BodyText"/>
    <w:next w:val="BodyText"/>
    <w:qFormat/>
    <w:rsid w:val="008B5961"/>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11</Pages>
  <Words>588</Words>
  <Characters>3353</Characters>
  <Application>Microsoft Office Word</Application>
  <DocSecurity>0</DocSecurity>
  <Lines>27</Lines>
  <Paragraphs>7</Paragraphs>
  <ScaleCrop>false</ScaleCrop>
  <Company/>
  <LinksUpToDate>false</LinksUpToDate>
  <CharactersWithSpaces>3934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2024-01-22T15:29:03Z</dcterms:created>
  <dcterms:modified xsi:type="dcterms:W3CDTF">2024-01-22T15:29:03Z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